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TUTK Mobile app operating Guide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right="0" w:firstLine="0"/>
        <w:jc w:val="left"/>
        <w:rPr>
          <w:color w:val="333333"/>
          <w:sz w:val="36"/>
          <w:szCs w:val="36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：Software search and installation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526" w:firstLine="0"/>
        <w:jc w:val="left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Android market search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SmartViewer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IPhone market search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SmartViewer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Find the following app icon to download and install：</w:t>
      </w:r>
    </w:p>
    <w:p>
      <w:pPr>
        <w:widowControl/>
        <w:ind w:firstLine="360" w:firstLineChars="15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5271770" cy="4399915"/>
            <wp:effectExtent l="0" t="0" r="5080" b="635"/>
            <wp:docPr id="7" name="图片 7" descr="5A2C94FE5CB54F0A2366C68BC04FD2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A2C94FE5CB54F0A2366C68BC04FD2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9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2：Device connection external network setting</w:t>
      </w:r>
    </w:p>
    <w:p>
      <w:pPr>
        <w:ind w:firstLine="420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The device IP address must be able to access the network normally,and notice that the default gateway is consistent with the DNS server and router related settings.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5271135" cy="2461895"/>
            <wp:effectExtent l="0" t="0" r="5715" b="146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360" w:firstLineChars="1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3：P2P function turned on</w:t>
      </w:r>
    </w:p>
    <w:p>
      <w:pPr>
        <w:widowControl/>
        <w:ind w:firstLine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After selecting to open, wait for the device to restart automatically, as shown in the following figure: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5271135" cy="2461895"/>
            <wp:effectExtent l="0" t="0" r="5715" b="146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357" w:firstLineChars="148"/>
        <w:jc w:val="left"/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Note: the device ID needs to contact the relevant agent, the first time you need to set up the ID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lang w:val="en-US" w:eastAsia="zh-CN"/>
        </w:rPr>
        <w:t xml:space="preserve"> ,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After ID settings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complet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lang w:val="en-US" w:eastAsia="zh-CN"/>
        </w:rPr>
        <w:t>ed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, the new ID will not take effect until the device is restarted.</w:t>
      </w:r>
    </w:p>
    <w:p>
      <w:pPr>
        <w:widowControl/>
        <w:ind w:firstLine="357" w:firstLineChars="148"/>
        <w:jc w:val="left"/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ind w:left="360" w:hanging="422" w:hangingChars="1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4：</w:t>
      </w:r>
      <w:r>
        <w:rPr>
          <w:rFonts w:hint="eastAsia" w:ascii="宋体" w:hAnsi="宋体" w:eastAsia="宋体" w:cs="宋体"/>
          <w:kern w:val="0"/>
          <w:sz w:val="24"/>
          <w:szCs w:val="24"/>
        </w:rPr>
        <w:t>Open the phone client and add the device ID by scanning the device's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QR code, as shown in the following figure:</w:t>
      </w:r>
    </w:p>
    <w:p>
      <w:pPr>
        <w:widowControl/>
        <w:ind w:left="360" w:hanging="360" w:hangingChars="1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ind w:left="360" w:hanging="360" w:hangingChars="1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Follow the operation wizard step by step, fill in the device user name password, note: the default user name and password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all are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admin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</w:t>
      </w:r>
    </w:p>
    <w:p>
      <w:r>
        <w:rPr>
          <w:rFonts w:hint="eastAsia"/>
        </w:rPr>
        <w:drawing>
          <wp:inline distT="0" distB="0" distL="0" distR="0">
            <wp:extent cx="1223010" cy="2472055"/>
            <wp:effectExtent l="0" t="0" r="15240" b="4445"/>
            <wp:docPr id="9" name="图片 9" descr="C:\Users\Administrator\Desktop\QQ图片20180302093226.jpgQQ图片20180302093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QQ图片20180302093226.jpgQQ图片201803020932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247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1276350" cy="2472055"/>
            <wp:effectExtent l="0" t="0" r="0" b="4445"/>
            <wp:docPr id="2" name="图片 12" descr="C:\Users\Administrator\Desktop\QQ图片20180302093237.jpgQQ图片20180302093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C:\Users\Administrator\Desktop\QQ图片20180302093237.jpgQQ图片201803020932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47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1273810" cy="2469515"/>
            <wp:effectExtent l="0" t="0" r="2540" b="6985"/>
            <wp:docPr id="15" name="图片 15" descr="C:\Users\Administrator\Desktop\QQ图片20180302093245.jpgQQ图片20180302093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QQ图片20180302093245.jpgQQ图片201803020932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247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62380" cy="2464435"/>
            <wp:effectExtent l="0" t="0" r="13970" b="12065"/>
            <wp:docPr id="10" name="图片 10" descr="QQ图片2018030209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1803020932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D0AAB"/>
    <w:rsid w:val="094629CF"/>
    <w:rsid w:val="0B1678B0"/>
    <w:rsid w:val="15686F71"/>
    <w:rsid w:val="29A217D6"/>
    <w:rsid w:val="32353D20"/>
    <w:rsid w:val="38EE7FAE"/>
    <w:rsid w:val="49057133"/>
    <w:rsid w:val="56A9483B"/>
    <w:rsid w:val="5CEF06BC"/>
    <w:rsid w:val="60B35758"/>
    <w:rsid w:val="662D0AAB"/>
    <w:rsid w:val="75094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2018-03-02T02:14:00Z</dcterms:created>
  <dc:creator>Administrator</dc:creator>
  <cp:lastModifiedBy>Administrator</cp:lastModifiedBy>
  <dcterms:modified xsi:type="dcterms:W3CDTF">2018-03-02T02:32:06Z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